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CA" w:rsidRDefault="00A973CA" w:rsidP="00A973C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w:t>
      </w:r>
      <w:proofErr w:type="gramStart"/>
      <w:r>
        <w:rPr>
          <w:rFonts w:ascii="Times New Roman" w:hAnsi="Times New Roman" w:cs="Times New Roman"/>
          <w:b/>
          <w:sz w:val="24"/>
          <w:szCs w:val="24"/>
        </w:rPr>
        <w:t>THE  HIGH</w:t>
      </w:r>
      <w:proofErr w:type="gramEnd"/>
      <w:r>
        <w:rPr>
          <w:rFonts w:ascii="Times New Roman" w:hAnsi="Times New Roman" w:cs="Times New Roman"/>
          <w:b/>
          <w:sz w:val="24"/>
          <w:szCs w:val="24"/>
        </w:rPr>
        <w:t xml:space="preserve"> COURT OF JUSTICE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Claim No: 3LS 40050</w:t>
      </w: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QUEEN’S BENCH DIVISION</w:t>
      </w:r>
      <w:r>
        <w:rPr>
          <w:rFonts w:ascii="Times New Roman" w:hAnsi="Times New Roman" w:cs="Times New Roman"/>
          <w:b/>
          <w:sz w:val="24"/>
          <w:szCs w:val="24"/>
        </w:rPr>
        <w:br/>
        <w:t>LEEDS DISTRICT REGISTRY</w:t>
      </w:r>
      <w:r>
        <w:rPr>
          <w:rFonts w:ascii="Times New Roman" w:hAnsi="Times New Roman" w:cs="Times New Roman"/>
          <w:b/>
          <w:sz w:val="24"/>
          <w:szCs w:val="24"/>
        </w:rPr>
        <w:br/>
      </w:r>
      <w:r>
        <w:rPr>
          <w:rFonts w:ascii="Times New Roman" w:hAnsi="Times New Roman" w:cs="Times New Roman"/>
          <w:b/>
          <w:sz w:val="24"/>
          <w:szCs w:val="24"/>
        </w:rPr>
        <w:br/>
        <w:t>MERCANTILE COURT</w:t>
      </w:r>
    </w:p>
    <w:p w:rsidR="00A973CA" w:rsidRDefault="00A973CA" w:rsidP="00A973CA">
      <w:pPr>
        <w:rPr>
          <w:rFonts w:ascii="Times New Roman" w:hAnsi="Times New Roman" w:cs="Times New Roman"/>
          <w:b/>
          <w:sz w:val="24"/>
          <w:szCs w:val="24"/>
        </w:rPr>
      </w:pP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 xml:space="preserve">BEFORE STUART BROWN Q.C. </w:t>
      </w:r>
    </w:p>
    <w:p w:rsidR="00A973CA" w:rsidRDefault="00A973CA" w:rsidP="00A973CA">
      <w:pPr>
        <w:rPr>
          <w:rFonts w:ascii="Times New Roman" w:hAnsi="Times New Roman" w:cs="Times New Roman"/>
          <w:b/>
          <w:sz w:val="24"/>
          <w:szCs w:val="24"/>
        </w:rPr>
      </w:pPr>
      <w:proofErr w:type="gramStart"/>
      <w:r>
        <w:rPr>
          <w:rFonts w:ascii="Times New Roman" w:hAnsi="Times New Roman" w:cs="Times New Roman"/>
          <w:b/>
          <w:sz w:val="24"/>
          <w:szCs w:val="24"/>
        </w:rPr>
        <w:t>sitting</w:t>
      </w:r>
      <w:proofErr w:type="gramEnd"/>
      <w:r>
        <w:rPr>
          <w:rFonts w:ascii="Times New Roman" w:hAnsi="Times New Roman" w:cs="Times New Roman"/>
          <w:b/>
          <w:sz w:val="24"/>
          <w:szCs w:val="24"/>
        </w:rPr>
        <w:t xml:space="preserve"> as a Deputy Judge of the  High Court</w:t>
      </w:r>
    </w:p>
    <w:p w:rsidR="00A973CA" w:rsidRDefault="00A973CA" w:rsidP="00A973CA">
      <w:pPr>
        <w:rPr>
          <w:rFonts w:ascii="Times New Roman" w:hAnsi="Times New Roman" w:cs="Times New Roman"/>
          <w:b/>
          <w:sz w:val="24"/>
          <w:szCs w:val="24"/>
        </w:rPr>
      </w:pP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 xml:space="preserve">B E T W E </w:t>
      </w:r>
      <w:proofErr w:type="spellStart"/>
      <w:r>
        <w:rPr>
          <w:rFonts w:ascii="Times New Roman" w:hAnsi="Times New Roman" w:cs="Times New Roman"/>
          <w:b/>
          <w:sz w:val="24"/>
          <w:szCs w:val="24"/>
        </w:rPr>
        <w:t>E</w:t>
      </w:r>
      <w:proofErr w:type="spellEnd"/>
      <w:r>
        <w:rPr>
          <w:rFonts w:ascii="Times New Roman" w:hAnsi="Times New Roman" w:cs="Times New Roman"/>
          <w:b/>
          <w:sz w:val="24"/>
          <w:szCs w:val="24"/>
        </w:rPr>
        <w:t xml:space="preserve"> N</w:t>
      </w:r>
    </w:p>
    <w:p w:rsidR="00A973CA" w:rsidRDefault="00A973CA" w:rsidP="00A973CA">
      <w:pPr>
        <w:rPr>
          <w:rFonts w:ascii="Times New Roman" w:hAnsi="Times New Roman" w:cs="Times New Roman"/>
          <w:b/>
          <w:sz w:val="24"/>
          <w:szCs w:val="24"/>
        </w:rPr>
      </w:pP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NESBIT LAW GROUP LLP</w:t>
      </w: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Part 20 Claimant</w:t>
      </w:r>
    </w:p>
    <w:p w:rsidR="00A973CA" w:rsidRDefault="00A973CA" w:rsidP="00A973CA">
      <w:pPr>
        <w:rPr>
          <w:rFonts w:ascii="Times New Roman" w:hAnsi="Times New Roman" w:cs="Times New Roman"/>
          <w:b/>
          <w:sz w:val="24"/>
          <w:szCs w:val="24"/>
        </w:rPr>
      </w:pP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w:t>
      </w:r>
    </w:p>
    <w:p w:rsidR="00A973CA" w:rsidRDefault="00A973CA" w:rsidP="00A973CA">
      <w:pPr>
        <w:rPr>
          <w:rFonts w:ascii="Times New Roman" w:hAnsi="Times New Roman" w:cs="Times New Roman"/>
          <w:b/>
          <w:sz w:val="24"/>
          <w:szCs w:val="24"/>
        </w:rPr>
      </w:pP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ACASTA EUROPEAN INSURANCE</w:t>
      </w: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COMPANY LIMITED</w:t>
      </w: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 formerly</w:t>
      </w:r>
      <w:proofErr w:type="gramEnd"/>
      <w:r>
        <w:rPr>
          <w:rFonts w:ascii="Times New Roman" w:hAnsi="Times New Roman" w:cs="Times New Roman"/>
          <w:b/>
          <w:sz w:val="24"/>
          <w:szCs w:val="24"/>
        </w:rPr>
        <w:t xml:space="preserve"> FOCUS INSURANCE CO.LTD)</w:t>
      </w:r>
    </w:p>
    <w:p w:rsidR="00A973CA" w:rsidRDefault="00A973CA" w:rsidP="00A973C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Part 20 Defendant</w:t>
      </w:r>
    </w:p>
    <w:p w:rsidR="00A973CA" w:rsidRDefault="00A973CA" w:rsidP="00E06BC6">
      <w:pPr>
        <w:rPr>
          <w:rFonts w:ascii="Times New Roman" w:hAnsi="Times New Roman" w:cs="Times New Roman"/>
          <w:b/>
        </w:rPr>
      </w:pPr>
    </w:p>
    <w:p w:rsidR="00A973CA" w:rsidRDefault="00A973CA" w:rsidP="00E06BC6">
      <w:pPr>
        <w:rPr>
          <w:rFonts w:ascii="Times New Roman" w:hAnsi="Times New Roman" w:cs="Times New Roman"/>
          <w:b/>
        </w:rPr>
      </w:pPr>
    </w:p>
    <w:p w:rsidR="00E06BC6" w:rsidRDefault="00E06BC6" w:rsidP="00E06BC6">
      <w:pPr>
        <w:rPr>
          <w:rFonts w:ascii="Times New Roman" w:hAnsi="Times New Roman" w:cs="Times New Roman"/>
          <w:b/>
        </w:rPr>
      </w:pPr>
      <w:r>
        <w:rPr>
          <w:rFonts w:ascii="Times New Roman" w:hAnsi="Times New Roman" w:cs="Times New Roman"/>
          <w:b/>
        </w:rPr>
        <w:t xml:space="preserve">  </w:t>
      </w:r>
      <w:r w:rsidR="00A973CA">
        <w:rPr>
          <w:rFonts w:ascii="Times New Roman" w:hAnsi="Times New Roman" w:cs="Times New Roman"/>
          <w:b/>
        </w:rPr>
        <w:tab/>
      </w:r>
      <w:r w:rsidR="00A973CA">
        <w:rPr>
          <w:rFonts w:ascii="Times New Roman" w:hAnsi="Times New Roman" w:cs="Times New Roman"/>
          <w:b/>
        </w:rPr>
        <w:tab/>
      </w:r>
      <w:r w:rsidR="00A973CA">
        <w:rPr>
          <w:rFonts w:ascii="Times New Roman" w:hAnsi="Times New Roman" w:cs="Times New Roman"/>
          <w:b/>
        </w:rPr>
        <w:tab/>
      </w:r>
      <w:r w:rsidR="00A973CA">
        <w:rPr>
          <w:rFonts w:ascii="Times New Roman" w:hAnsi="Times New Roman" w:cs="Times New Roman"/>
          <w:b/>
        </w:rPr>
        <w:tab/>
      </w:r>
      <w:r>
        <w:rPr>
          <w:rFonts w:ascii="Times New Roman" w:hAnsi="Times New Roman" w:cs="Times New Roman"/>
          <w:b/>
        </w:rPr>
        <w:t>PRELIMINARY  MATTER</w:t>
      </w:r>
    </w:p>
    <w:p w:rsidR="00E06BC6" w:rsidRPr="00E772A5" w:rsidRDefault="00E772A5" w:rsidP="00E06BC6">
      <w:pPr>
        <w:rPr>
          <w:rFonts w:ascii="Times New Roman" w:hAnsi="Times New Roman" w:cs="Times New Roman"/>
          <w:b/>
          <w:i/>
        </w:rPr>
      </w:pPr>
      <w:r>
        <w:rPr>
          <w:rFonts w:ascii="Times New Roman" w:hAnsi="Times New Roman" w:cs="Times New Roman"/>
          <w:b/>
          <w:i/>
        </w:rPr>
        <w:t>As indicated in open court that which follows was written after consideration of the parties’ respective skeleton arguments. Such was done with a view to saving time. Ms Troy was invited to expand her submissions orally but did not seek to do so.</w:t>
      </w: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The parties were made aware on Tuesday afternoon that, if I decided the “terms issue” in Nesbit’s favour, I would propose to give a reasoned judgment thereon today. I left open for further submissions, questions of interest, costs and, critically, the form of the Order. This last arose because of a matter raised in Ms Troy’s supplemental submissions delivered the day before the hearing commenced. There she suggested that if it were found that </w:t>
      </w:r>
      <w:proofErr w:type="spellStart"/>
      <w:r w:rsidRPr="00E06BC6">
        <w:rPr>
          <w:rFonts w:ascii="Times New Roman" w:hAnsi="Times New Roman" w:cs="Times New Roman"/>
        </w:rPr>
        <w:t>Acasta</w:t>
      </w:r>
      <w:proofErr w:type="spellEnd"/>
      <w:r w:rsidRPr="00E06BC6">
        <w:rPr>
          <w:rFonts w:ascii="Times New Roman" w:hAnsi="Times New Roman" w:cs="Times New Roman"/>
        </w:rPr>
        <w:t xml:space="preserve"> were liable to make any payment then that payment should be directed to be made not to Nesbit but to Clydesdale. </w:t>
      </w:r>
    </w:p>
    <w:p w:rsidR="00E06BC6" w:rsidRDefault="00E06BC6" w:rsidP="00E06BC6">
      <w:pPr>
        <w:ind w:left="720"/>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lastRenderedPageBreak/>
        <w:t xml:space="preserve">Yesterday afternoon a “warning” was delivered by e-mail from </w:t>
      </w:r>
      <w:proofErr w:type="spellStart"/>
      <w:r w:rsidRPr="00E06BC6">
        <w:rPr>
          <w:rFonts w:ascii="Times New Roman" w:hAnsi="Times New Roman" w:cs="Times New Roman"/>
        </w:rPr>
        <w:t>Acasta</w:t>
      </w:r>
      <w:proofErr w:type="spellEnd"/>
      <w:r w:rsidRPr="00E06BC6">
        <w:rPr>
          <w:rFonts w:ascii="Times New Roman" w:hAnsi="Times New Roman" w:cs="Times New Roman"/>
        </w:rPr>
        <w:t xml:space="preserve"> through Ms Troy that it would be argued I should be required to stay the claim, not hand down any judgment unless and until Clydesdale were joined or some further assignment of policy rights and benefits were effected. It was not until </w:t>
      </w:r>
      <w:proofErr w:type="gramStart"/>
      <w:r w:rsidRPr="00E06BC6">
        <w:rPr>
          <w:rFonts w:ascii="Times New Roman" w:hAnsi="Times New Roman" w:cs="Times New Roman"/>
        </w:rPr>
        <w:t>after  6.00</w:t>
      </w:r>
      <w:proofErr w:type="gramEnd"/>
      <w:r w:rsidRPr="00E06BC6">
        <w:rPr>
          <w:rFonts w:ascii="Times New Roman" w:hAnsi="Times New Roman" w:cs="Times New Roman"/>
        </w:rPr>
        <w:t xml:space="preserve"> </w:t>
      </w:r>
      <w:proofErr w:type="spellStart"/>
      <w:r w:rsidRPr="00E06BC6">
        <w:rPr>
          <w:rFonts w:ascii="Times New Roman" w:hAnsi="Times New Roman" w:cs="Times New Roman"/>
        </w:rPr>
        <w:t>p.m</w:t>
      </w:r>
      <w:proofErr w:type="spellEnd"/>
      <w:r w:rsidRPr="00E06BC6">
        <w:rPr>
          <w:rFonts w:ascii="Times New Roman" w:hAnsi="Times New Roman" w:cs="Times New Roman"/>
        </w:rPr>
        <w:t xml:space="preserve"> yesterday evening that </w:t>
      </w:r>
      <w:proofErr w:type="spellStart"/>
      <w:r w:rsidRPr="00E06BC6">
        <w:rPr>
          <w:rFonts w:ascii="Times New Roman" w:hAnsi="Times New Roman" w:cs="Times New Roman"/>
        </w:rPr>
        <w:t>Acasta’s</w:t>
      </w:r>
      <w:proofErr w:type="spellEnd"/>
      <w:r w:rsidRPr="00E06BC6">
        <w:rPr>
          <w:rFonts w:ascii="Times New Roman" w:hAnsi="Times New Roman" w:cs="Times New Roman"/>
        </w:rPr>
        <w:t xml:space="preserve"> position was finally set out in written submissions from Ms Troy.</w:t>
      </w:r>
    </w:p>
    <w:p w:rsidR="00E06BC6" w:rsidRDefault="00E06BC6" w:rsidP="00E06BC6">
      <w:pPr>
        <w:ind w:left="720"/>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I remind myself that the present proceedings were begun by way of Part 20 claim some three and a half years ago. </w:t>
      </w:r>
      <w:proofErr w:type="spellStart"/>
      <w:r w:rsidRPr="00E06BC6">
        <w:rPr>
          <w:rFonts w:ascii="Times New Roman" w:hAnsi="Times New Roman" w:cs="Times New Roman"/>
        </w:rPr>
        <w:t>Acasta</w:t>
      </w:r>
      <w:proofErr w:type="spellEnd"/>
      <w:r w:rsidRPr="00E06BC6">
        <w:rPr>
          <w:rFonts w:ascii="Times New Roman" w:hAnsi="Times New Roman" w:cs="Times New Roman"/>
        </w:rPr>
        <w:t xml:space="preserve"> settled their Defence in May 2013. There have been a series of interlocutory hearings the latest only a matter of </w:t>
      </w:r>
      <w:proofErr w:type="gramStart"/>
      <w:r w:rsidRPr="00E06BC6">
        <w:rPr>
          <w:rFonts w:ascii="Times New Roman" w:hAnsi="Times New Roman" w:cs="Times New Roman"/>
        </w:rPr>
        <w:t>days  ago</w:t>
      </w:r>
      <w:proofErr w:type="gramEnd"/>
      <w:r w:rsidRPr="00E06BC6">
        <w:rPr>
          <w:rFonts w:ascii="Times New Roman" w:hAnsi="Times New Roman" w:cs="Times New Roman"/>
        </w:rPr>
        <w:t>. Importantly in January of this year part of the Claim was stayed but directions were given for trial of this matter.</w:t>
      </w:r>
    </w:p>
    <w:p w:rsidR="00E06BC6" w:rsidRDefault="00E06BC6" w:rsidP="00E06BC6">
      <w:pPr>
        <w:ind w:left="720"/>
        <w:rPr>
          <w:rFonts w:ascii="Times New Roman" w:hAnsi="Times New Roman" w:cs="Times New Roman"/>
        </w:rPr>
      </w:pPr>
    </w:p>
    <w:p w:rsid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The week prior to commencement of this hearing the matter was before HH Judge Kaye Q.C. seemingly on an application to adjourn (with disclosure by </w:t>
      </w:r>
      <w:proofErr w:type="spellStart"/>
      <w:r w:rsidRPr="00E06BC6">
        <w:rPr>
          <w:rFonts w:ascii="Times New Roman" w:hAnsi="Times New Roman" w:cs="Times New Roman"/>
        </w:rPr>
        <w:t>Acasta</w:t>
      </w:r>
      <w:proofErr w:type="spellEnd"/>
      <w:r w:rsidRPr="00E06BC6">
        <w:rPr>
          <w:rFonts w:ascii="Times New Roman" w:hAnsi="Times New Roman" w:cs="Times New Roman"/>
        </w:rPr>
        <w:t xml:space="preserve"> still in issue). At that time a formal admission was made (if the same could ever have been in doubt) that Nesbit were the policyholder under the FGI policies.</w:t>
      </w:r>
    </w:p>
    <w:p w:rsidR="00E06BC6" w:rsidRPr="00E06BC6" w:rsidRDefault="00E06BC6" w:rsidP="00E06BC6">
      <w:pPr>
        <w:pStyle w:val="ListParagraph"/>
        <w:rPr>
          <w:rFonts w:ascii="Times New Roman" w:hAnsi="Times New Roman" w:cs="Times New Roman"/>
        </w:rPr>
      </w:pPr>
    </w:p>
    <w:p w:rsidR="00E06BC6" w:rsidRPr="00E06BC6" w:rsidRDefault="00E06BC6" w:rsidP="00E06BC6">
      <w:pPr>
        <w:pStyle w:val="ListParagraph"/>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In the Joint Note prepared by Counsel no issue was taken as to the “identity” of the parties and it has throughout specifically been recognised that Nesbit have title to bring these proceedings.</w:t>
      </w:r>
    </w:p>
    <w:p w:rsidR="00E06BC6" w:rsidRDefault="00E06BC6" w:rsidP="00E06BC6">
      <w:pPr>
        <w:ind w:left="720"/>
        <w:rPr>
          <w:rFonts w:ascii="Times New Roman" w:hAnsi="Times New Roman" w:cs="Times New Roman"/>
        </w:rPr>
      </w:pPr>
    </w:p>
    <w:p w:rsid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Thus the point has, for whatever reason (and I forego cynicism) been taken at the very last minute. Nor am I necessarily categorising </w:t>
      </w:r>
      <w:proofErr w:type="spellStart"/>
      <w:r w:rsidRPr="00E06BC6">
        <w:rPr>
          <w:rFonts w:ascii="Times New Roman" w:hAnsi="Times New Roman" w:cs="Times New Roman"/>
        </w:rPr>
        <w:t>Acasta’s</w:t>
      </w:r>
      <w:proofErr w:type="spellEnd"/>
      <w:r w:rsidRPr="00E06BC6">
        <w:rPr>
          <w:rFonts w:ascii="Times New Roman" w:hAnsi="Times New Roman" w:cs="Times New Roman"/>
        </w:rPr>
        <w:t xml:space="preserve"> stance as procedural skirmishing (as so described in the </w:t>
      </w:r>
      <w:r w:rsidRPr="00E06BC6">
        <w:rPr>
          <w:rFonts w:ascii="Times New Roman" w:hAnsi="Times New Roman" w:cs="Times New Roman"/>
          <w:i/>
        </w:rPr>
        <w:t xml:space="preserve">Three Rivers case) </w:t>
      </w:r>
      <w:r w:rsidRPr="00E06BC6">
        <w:rPr>
          <w:rFonts w:ascii="Times New Roman" w:hAnsi="Times New Roman" w:cs="Times New Roman"/>
        </w:rPr>
        <w:t>albeit a momentary glance at Chitty on Contracts might have sounded a possible warning bell months, if not years, earlier.</w:t>
      </w:r>
    </w:p>
    <w:p w:rsidR="00E06BC6" w:rsidRPr="00E06BC6" w:rsidRDefault="00E06BC6" w:rsidP="00E06BC6">
      <w:pPr>
        <w:pStyle w:val="ListParagraph"/>
        <w:rPr>
          <w:rFonts w:ascii="Times New Roman" w:hAnsi="Times New Roman" w:cs="Times New Roman"/>
        </w:rPr>
      </w:pPr>
    </w:p>
    <w:p w:rsidR="00E06BC6" w:rsidRPr="00E06BC6" w:rsidRDefault="00E06BC6" w:rsidP="00E06BC6">
      <w:pPr>
        <w:pStyle w:val="ListParagraph"/>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Their </w:t>
      </w:r>
      <w:proofErr w:type="gramStart"/>
      <w:r w:rsidRPr="00E06BC6">
        <w:rPr>
          <w:rFonts w:ascii="Times New Roman" w:hAnsi="Times New Roman" w:cs="Times New Roman"/>
        </w:rPr>
        <w:t>stance  is</w:t>
      </w:r>
      <w:proofErr w:type="gramEnd"/>
      <w:r w:rsidRPr="00E06BC6">
        <w:rPr>
          <w:rFonts w:ascii="Times New Roman" w:hAnsi="Times New Roman" w:cs="Times New Roman"/>
        </w:rPr>
        <w:t xml:space="preserve"> taken apparently both to ensure monies are preserved ensuring, in accordance with the settlement agreement between Clydesdale and Nesbit, that monies recovered are handed over and second so as to ensure that </w:t>
      </w:r>
      <w:proofErr w:type="spellStart"/>
      <w:r w:rsidRPr="00E06BC6">
        <w:rPr>
          <w:rFonts w:ascii="Times New Roman" w:hAnsi="Times New Roman" w:cs="Times New Roman"/>
        </w:rPr>
        <w:t>Acasta’s</w:t>
      </w:r>
      <w:proofErr w:type="spellEnd"/>
      <w:r w:rsidRPr="00E06BC6">
        <w:rPr>
          <w:rFonts w:ascii="Times New Roman" w:hAnsi="Times New Roman" w:cs="Times New Roman"/>
        </w:rPr>
        <w:t xml:space="preserve"> position is protected and that they are not called upon a second time to meet claims from Clydesdale under these policies.</w:t>
      </w:r>
    </w:p>
    <w:p w:rsidR="00E06BC6" w:rsidRDefault="00E06BC6" w:rsidP="00E06BC6">
      <w:pPr>
        <w:ind w:left="720"/>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It has been suggested to me that Clydesdale must be joined as a party. On one view they were, being the original Claimant. The object of the general rule is that as between assignor and assignee each should know that proceedings are being brought and the nature of these proceedings. It is clear Clydesdale are fully aware of these proceedings and the competing arguments given the terms of the settlement agreement.</w:t>
      </w:r>
    </w:p>
    <w:p w:rsidR="00E06BC6" w:rsidRDefault="00E06BC6" w:rsidP="00E06BC6">
      <w:pPr>
        <w:ind w:left="720"/>
        <w:rPr>
          <w:rFonts w:ascii="Times New Roman" w:hAnsi="Times New Roman" w:cs="Times New Roman"/>
        </w:rPr>
      </w:pPr>
    </w:p>
    <w:p w:rsid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In deference to the argument raised by Ms Troy I briefly deal with the authorities to which she refers me. I derive no assistance from the case of </w:t>
      </w:r>
      <w:r w:rsidRPr="00E06BC6">
        <w:rPr>
          <w:rFonts w:ascii="Times New Roman" w:hAnsi="Times New Roman" w:cs="Times New Roman"/>
          <w:i/>
        </w:rPr>
        <w:t xml:space="preserve">Bexhill v </w:t>
      </w:r>
      <w:proofErr w:type="spellStart"/>
      <w:r w:rsidRPr="00E06BC6">
        <w:rPr>
          <w:rFonts w:ascii="Times New Roman" w:hAnsi="Times New Roman" w:cs="Times New Roman"/>
          <w:i/>
        </w:rPr>
        <w:t>Razaq</w:t>
      </w:r>
      <w:proofErr w:type="spellEnd"/>
      <w:r w:rsidRPr="00E06BC6">
        <w:rPr>
          <w:rFonts w:ascii="Times New Roman" w:hAnsi="Times New Roman" w:cs="Times New Roman"/>
          <w:i/>
        </w:rPr>
        <w:t xml:space="preserve"> [2012] EWCA </w:t>
      </w:r>
      <w:proofErr w:type="spellStart"/>
      <w:r w:rsidRPr="00E06BC6">
        <w:rPr>
          <w:rFonts w:ascii="Times New Roman" w:hAnsi="Times New Roman" w:cs="Times New Roman"/>
          <w:i/>
        </w:rPr>
        <w:t>Civ</w:t>
      </w:r>
      <w:proofErr w:type="spellEnd"/>
      <w:r w:rsidRPr="00E06BC6">
        <w:rPr>
          <w:rFonts w:ascii="Times New Roman" w:hAnsi="Times New Roman" w:cs="Times New Roman"/>
          <w:i/>
        </w:rPr>
        <w:t xml:space="preserve"> 1376.</w:t>
      </w:r>
      <w:r w:rsidRPr="00E06BC6">
        <w:rPr>
          <w:rFonts w:ascii="Times New Roman" w:hAnsi="Times New Roman" w:cs="Times New Roman"/>
        </w:rPr>
        <w:t xml:space="preserve"> That deals with a different situation.</w:t>
      </w:r>
    </w:p>
    <w:p w:rsidR="00E06BC6" w:rsidRPr="00E06BC6" w:rsidRDefault="00E06BC6" w:rsidP="00E06BC6">
      <w:pPr>
        <w:pStyle w:val="ListParagraph"/>
        <w:rPr>
          <w:rFonts w:ascii="Times New Roman" w:hAnsi="Times New Roman" w:cs="Times New Roman"/>
        </w:rPr>
      </w:pPr>
    </w:p>
    <w:p w:rsidR="00E06BC6" w:rsidRPr="00E06BC6" w:rsidRDefault="00E06BC6" w:rsidP="00E06BC6">
      <w:pPr>
        <w:pStyle w:val="ListParagraph"/>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On its face the case of </w:t>
      </w:r>
      <w:r w:rsidRPr="00E06BC6">
        <w:rPr>
          <w:rFonts w:ascii="Times New Roman" w:hAnsi="Times New Roman" w:cs="Times New Roman"/>
          <w:i/>
        </w:rPr>
        <w:t xml:space="preserve">Three Rivers District Council v Governor and Company of the Bank of England [1996] QB 292 </w:t>
      </w:r>
      <w:r w:rsidRPr="00E06BC6">
        <w:rPr>
          <w:rFonts w:ascii="Times New Roman" w:hAnsi="Times New Roman" w:cs="Times New Roman"/>
        </w:rPr>
        <w:t>is central to the argument. The facts were of course very different and thus the “policy” considerations underlying the decision were equally different. All of the Court were concerned as to what I have already termed “procedural skirmishing”.</w:t>
      </w:r>
    </w:p>
    <w:p w:rsidR="00E06BC6" w:rsidRDefault="00E06BC6" w:rsidP="00E06BC6">
      <w:pPr>
        <w:ind w:left="720"/>
        <w:rPr>
          <w:rFonts w:ascii="Times New Roman" w:hAnsi="Times New Roman" w:cs="Times New Roman"/>
        </w:rPr>
      </w:pPr>
      <w:r>
        <w:rPr>
          <w:rFonts w:ascii="Times New Roman" w:hAnsi="Times New Roman" w:cs="Times New Roman"/>
        </w:rPr>
        <w:t xml:space="preserve">At 298g </w:t>
      </w:r>
      <w:proofErr w:type="spellStart"/>
      <w:r>
        <w:rPr>
          <w:rFonts w:ascii="Times New Roman" w:hAnsi="Times New Roman" w:cs="Times New Roman"/>
        </w:rPr>
        <w:t>Staughton</w:t>
      </w:r>
      <w:proofErr w:type="spellEnd"/>
      <w:r>
        <w:rPr>
          <w:rFonts w:ascii="Times New Roman" w:hAnsi="Times New Roman" w:cs="Times New Roman"/>
        </w:rPr>
        <w:t xml:space="preserve"> LJ said this:</w:t>
      </w:r>
    </w:p>
    <w:p w:rsidR="00E06BC6" w:rsidRDefault="00E06BC6" w:rsidP="00E06BC6">
      <w:pPr>
        <w:ind w:left="1440"/>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The issue is, whether the assignor of a cause of action retains a cause of action when the assignment is equitable. All are agreed that, as a procedural requirement, he </w:t>
      </w:r>
      <w:r w:rsidRPr="00FC2157">
        <w:rPr>
          <w:rFonts w:ascii="Times New Roman" w:hAnsi="Times New Roman" w:cs="Times New Roman"/>
          <w:b/>
          <w:i/>
        </w:rPr>
        <w:t xml:space="preserve">may </w:t>
      </w:r>
      <w:r>
        <w:rPr>
          <w:rFonts w:ascii="Times New Roman" w:hAnsi="Times New Roman" w:cs="Times New Roman"/>
          <w:i/>
        </w:rPr>
        <w:t>(my emphasis), if the court thinks fit, be compelled to join the assignee as a party; so too an equitable assignee….. In either case the effect is to avoid double jeopardy, to save the debtor from the risk that he may have to pay twice”</w:t>
      </w:r>
    </w:p>
    <w:p w:rsidR="00E06BC6" w:rsidRDefault="00E06BC6" w:rsidP="00E06BC6">
      <w:pPr>
        <w:rPr>
          <w:rFonts w:ascii="Times New Roman" w:hAnsi="Times New Roman" w:cs="Times New Roman"/>
          <w:i/>
        </w:rPr>
      </w:pPr>
    </w:p>
    <w:p w:rsidR="00E06BC6" w:rsidRDefault="00E06BC6" w:rsidP="00E06BC6">
      <w:pPr>
        <w:ind w:left="720"/>
        <w:rPr>
          <w:rFonts w:ascii="Times New Roman" w:hAnsi="Times New Roman" w:cs="Times New Roman"/>
        </w:rPr>
      </w:pPr>
      <w:r>
        <w:rPr>
          <w:rFonts w:ascii="Times New Roman" w:hAnsi="Times New Roman" w:cs="Times New Roman"/>
        </w:rPr>
        <w:t>There follows a long review of the authorities before concluding, as accepted here, that the assignor retains the right to sue in his own name. I do not read this judgment as authority for the proposition that the assignee must be joined.</w:t>
      </w:r>
    </w:p>
    <w:p w:rsidR="00E06BC6" w:rsidRDefault="00E06BC6" w:rsidP="00E06BC6">
      <w:pPr>
        <w:ind w:left="720"/>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t is right that Peter Gibson LJ’s judgment is to a somewhat different effect though, as is made plain at 308A-B, his principal concern was as to transparency. The Court in </w:t>
      </w:r>
      <w:r w:rsidRPr="00E06BC6">
        <w:rPr>
          <w:rFonts w:ascii="Times New Roman" w:hAnsi="Times New Roman" w:cs="Times New Roman"/>
          <w:i/>
        </w:rPr>
        <w:t>Three Rivers</w:t>
      </w:r>
      <w:r w:rsidRPr="00E06BC6">
        <w:rPr>
          <w:rFonts w:ascii="Times New Roman" w:hAnsi="Times New Roman" w:cs="Times New Roman"/>
        </w:rPr>
        <w:t xml:space="preserve"> were concerned not with the assignor suing but the assignee. Nonetheless at 313F-G it is said in terms:</w:t>
      </w:r>
    </w:p>
    <w:p w:rsidR="00E06BC6" w:rsidRDefault="00E06BC6" w:rsidP="00E06BC6">
      <w:pPr>
        <w:ind w:left="1440"/>
        <w:rPr>
          <w:rFonts w:ascii="Times New Roman" w:hAnsi="Times New Roman" w:cs="Times New Roman"/>
          <w:i/>
        </w:rPr>
      </w:pPr>
      <w:r>
        <w:rPr>
          <w:rFonts w:ascii="Times New Roman" w:hAnsi="Times New Roman" w:cs="Times New Roman"/>
          <w:i/>
        </w:rPr>
        <w:t>“If, unusually, the assignor sues he will not be allowed to maintain the action in the absence of the assignee”.</w:t>
      </w:r>
    </w:p>
    <w:p w:rsidR="00E06BC6" w:rsidRDefault="00E06BC6" w:rsidP="00E06BC6">
      <w:pPr>
        <w:rPr>
          <w:rFonts w:ascii="Times New Roman" w:hAnsi="Times New Roman" w:cs="Times New Roman"/>
          <w:i/>
        </w:rPr>
      </w:pPr>
    </w:p>
    <w:p w:rsidR="00E06BC6" w:rsidRPr="00E06BC6" w:rsidRDefault="00E06BC6" w:rsidP="00E06BC6">
      <w:pPr>
        <w:pStyle w:val="ListParagraph"/>
        <w:numPr>
          <w:ilvl w:val="0"/>
          <w:numId w:val="2"/>
        </w:numPr>
        <w:rPr>
          <w:rFonts w:ascii="Times New Roman" w:hAnsi="Times New Roman" w:cs="Times New Roman"/>
          <w:i/>
        </w:rPr>
      </w:pPr>
      <w:r w:rsidRPr="00E06BC6">
        <w:rPr>
          <w:rFonts w:ascii="Times New Roman" w:hAnsi="Times New Roman" w:cs="Times New Roman"/>
        </w:rPr>
        <w:t xml:space="preserve">I have been further referred to the case of </w:t>
      </w:r>
      <w:r w:rsidRPr="00E06BC6">
        <w:rPr>
          <w:rFonts w:ascii="Times New Roman" w:hAnsi="Times New Roman" w:cs="Times New Roman"/>
          <w:i/>
        </w:rPr>
        <w:t>Walter v Sullivan [1955</w:t>
      </w:r>
      <w:proofErr w:type="gramStart"/>
      <w:r w:rsidRPr="00E06BC6">
        <w:rPr>
          <w:rFonts w:ascii="Times New Roman" w:hAnsi="Times New Roman" w:cs="Times New Roman"/>
          <w:i/>
        </w:rPr>
        <w:t>]QB</w:t>
      </w:r>
      <w:proofErr w:type="gramEnd"/>
      <w:r w:rsidRPr="00E06BC6">
        <w:rPr>
          <w:rFonts w:ascii="Times New Roman" w:hAnsi="Times New Roman" w:cs="Times New Roman"/>
          <w:i/>
        </w:rPr>
        <w:t xml:space="preserve"> 584.</w:t>
      </w:r>
      <w:r>
        <w:rPr>
          <w:rFonts w:ascii="Times New Roman" w:hAnsi="Times New Roman" w:cs="Times New Roman"/>
          <w:i/>
        </w:rPr>
        <w:t xml:space="preserve"> </w:t>
      </w:r>
      <w:r w:rsidRPr="00E06BC6">
        <w:rPr>
          <w:rFonts w:ascii="Times New Roman" w:hAnsi="Times New Roman" w:cs="Times New Roman"/>
        </w:rPr>
        <w:t xml:space="preserve">Again the facts of that case were very different and though the court categorised the argument that the assignor could recover in the absence of the assignee as an “impossible contention” I am bound to take the view that all cases are fact specific. In the instant case not only is the point raised at the very last moment but, crucially, Clydesdale are fully aware of the claim and its nature. </w:t>
      </w:r>
      <w:r w:rsidRPr="00E06BC6">
        <w:rPr>
          <w:rFonts w:ascii="Times New Roman" w:hAnsi="Times New Roman" w:cs="Times New Roman"/>
          <w:i/>
        </w:rPr>
        <w:t xml:space="preserve"> </w:t>
      </w:r>
    </w:p>
    <w:p w:rsidR="00E06BC6" w:rsidRDefault="00E06BC6" w:rsidP="00E06BC6">
      <w:pPr>
        <w:ind w:left="720"/>
        <w:rPr>
          <w:rFonts w:ascii="Times New Roman" w:hAnsi="Times New Roman" w:cs="Times New Roman"/>
        </w:rPr>
      </w:pPr>
    </w:p>
    <w:p w:rsidR="00E06BC6" w:rsidRP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 xml:space="preserve">I am quite satisfied that the concerns of </w:t>
      </w:r>
      <w:proofErr w:type="spellStart"/>
      <w:r w:rsidRPr="00E06BC6">
        <w:rPr>
          <w:rFonts w:ascii="Times New Roman" w:hAnsi="Times New Roman" w:cs="Times New Roman"/>
        </w:rPr>
        <w:t>Acasta</w:t>
      </w:r>
      <w:proofErr w:type="spellEnd"/>
      <w:r w:rsidRPr="00E06BC6">
        <w:rPr>
          <w:rFonts w:ascii="Times New Roman" w:hAnsi="Times New Roman" w:cs="Times New Roman"/>
        </w:rPr>
        <w:t xml:space="preserve"> and the possible concerns of Clydesdale can properly be met by the terms of an Order requiring, inter alia, monies to be first paid into Court, reciting the terms of an appropriate undertaking and giving Clydesdale liberty to apply to vary the Order made.</w:t>
      </w:r>
    </w:p>
    <w:p w:rsidR="00E06BC6" w:rsidRDefault="00E06BC6" w:rsidP="00E06BC6">
      <w:pPr>
        <w:ind w:left="720"/>
        <w:rPr>
          <w:rFonts w:ascii="Times New Roman" w:hAnsi="Times New Roman" w:cs="Times New Roman"/>
        </w:rPr>
      </w:pPr>
    </w:p>
    <w:p w:rsidR="00E06BC6" w:rsidRDefault="00E06BC6" w:rsidP="00E06BC6">
      <w:pPr>
        <w:pStyle w:val="ListParagraph"/>
        <w:numPr>
          <w:ilvl w:val="0"/>
          <w:numId w:val="2"/>
        </w:numPr>
        <w:rPr>
          <w:rFonts w:ascii="Times New Roman" w:hAnsi="Times New Roman" w:cs="Times New Roman"/>
        </w:rPr>
      </w:pPr>
      <w:r w:rsidRPr="00E06BC6">
        <w:rPr>
          <w:rFonts w:ascii="Times New Roman" w:hAnsi="Times New Roman" w:cs="Times New Roman"/>
        </w:rPr>
        <w:t>I propose to consider the precise wording of the Order with Counsel but shall do so after having delivered a reasoned judgment on the substantive issue. I shall deal with questions of interest and costs thereafter.</w:t>
      </w:r>
    </w:p>
    <w:p w:rsidR="00E06BC6" w:rsidRPr="00E06BC6" w:rsidRDefault="00E06BC6" w:rsidP="00E06BC6">
      <w:pPr>
        <w:pStyle w:val="ListParagraph"/>
        <w:rPr>
          <w:rFonts w:ascii="Times New Roman" w:hAnsi="Times New Roman" w:cs="Times New Roman"/>
        </w:rPr>
      </w:pPr>
    </w:p>
    <w:p w:rsidR="00E06BC6" w:rsidRDefault="00E06BC6" w:rsidP="00E06BC6">
      <w:pPr>
        <w:pStyle w:val="ListParagraph"/>
        <w:ind w:left="4320"/>
        <w:rPr>
          <w:rFonts w:ascii="Times New Roman" w:hAnsi="Times New Roman" w:cs="Times New Roman"/>
          <w:b/>
        </w:rPr>
      </w:pPr>
      <w:r>
        <w:rPr>
          <w:rFonts w:ascii="Times New Roman" w:hAnsi="Times New Roman" w:cs="Times New Roman"/>
          <w:b/>
        </w:rPr>
        <w:t>Stuart Brown Q.C.</w:t>
      </w:r>
    </w:p>
    <w:p w:rsidR="00E06BC6" w:rsidRDefault="00E06BC6" w:rsidP="00E06BC6">
      <w:pPr>
        <w:pStyle w:val="ListParagraph"/>
        <w:ind w:left="4320"/>
        <w:rPr>
          <w:rFonts w:ascii="Times New Roman" w:hAnsi="Times New Roman" w:cs="Times New Roman"/>
          <w:b/>
        </w:rPr>
      </w:pPr>
      <w:r>
        <w:rPr>
          <w:rFonts w:ascii="Times New Roman" w:hAnsi="Times New Roman" w:cs="Times New Roman"/>
          <w:b/>
        </w:rPr>
        <w:t>Sitting as A Deputy Judge of the High Court</w:t>
      </w:r>
    </w:p>
    <w:p w:rsidR="00E06BC6" w:rsidRPr="00E06BC6" w:rsidRDefault="00E06BC6" w:rsidP="00E06BC6">
      <w:pPr>
        <w:pStyle w:val="ListParagraph"/>
        <w:ind w:left="4320"/>
        <w:rPr>
          <w:rFonts w:ascii="Times New Roman" w:hAnsi="Times New Roman" w:cs="Times New Roman"/>
          <w:b/>
        </w:rPr>
      </w:pPr>
      <w:r>
        <w:rPr>
          <w:rFonts w:ascii="Times New Roman" w:hAnsi="Times New Roman" w:cs="Times New Roman"/>
          <w:b/>
        </w:rPr>
        <w:t>15.9.16</w:t>
      </w:r>
    </w:p>
    <w:p w:rsidR="00E06BC6" w:rsidRDefault="00E06BC6" w:rsidP="00E06BC6">
      <w:pPr>
        <w:ind w:left="720"/>
        <w:rPr>
          <w:rFonts w:ascii="Times New Roman" w:hAnsi="Times New Roman" w:cs="Times New Roman"/>
        </w:rPr>
      </w:pPr>
    </w:p>
    <w:p w:rsidR="00E06BC6" w:rsidRPr="001D78EB" w:rsidRDefault="00E06BC6" w:rsidP="00E06BC6">
      <w:pPr>
        <w:ind w:left="720"/>
        <w:rPr>
          <w:rFonts w:ascii="Times New Roman" w:hAnsi="Times New Roman" w:cs="Times New Roman"/>
        </w:rPr>
      </w:pPr>
    </w:p>
    <w:p w:rsidR="005763F1" w:rsidRDefault="005763F1"/>
    <w:sectPr w:rsidR="00576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1A50"/>
    <w:multiLevelType w:val="hybridMultilevel"/>
    <w:tmpl w:val="2D187A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E567976"/>
    <w:multiLevelType w:val="hybridMultilevel"/>
    <w:tmpl w:val="2E746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C6"/>
    <w:rsid w:val="00037D67"/>
    <w:rsid w:val="005763F1"/>
    <w:rsid w:val="00A62A8A"/>
    <w:rsid w:val="00A973CA"/>
    <w:rsid w:val="00E06BC6"/>
    <w:rsid w:val="00E7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Brown</dc:creator>
  <cp:lastModifiedBy>Gordon</cp:lastModifiedBy>
  <cp:revision>2</cp:revision>
  <dcterms:created xsi:type="dcterms:W3CDTF">2017-01-03T18:05:00Z</dcterms:created>
  <dcterms:modified xsi:type="dcterms:W3CDTF">2017-01-03T18:05:00Z</dcterms:modified>
</cp:coreProperties>
</file>